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28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工程结算审计承诺书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汉江师范学院：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在建设项目竣工结算审计期间，我方（承包单位）郑重承诺：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1.诚信提交工程结算审计资料，并对送审资料的真实性、完整性和合法性负责。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2.保证提交的送审资料规范完整，我方愿意承担因提供资料不全或不准确所造成的一切后果。未提交的资料不再作为计价依据，如有漏报,不再补报。资料中不准确（变更内容不明确、未按学校相关管理规定履行审批程序、为规避审批权限将变更项目拆分的、工程量清单少算及漏算的未履行报批程序、签字单位不齐全等）的变更签证作为无效签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4.积极配合贵校因竣工结算需要开展的审核或审计工作。未按有关要求在规定期限内配合审计或提交书面意见的，贵校可视作无异议处理。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5.同意承担审减率超过5%的超出部分的审计费用，承担的审计费=〔送审金额-审定金额×（1+5%）〕×A，A值以贵校与造价机构签订的协议相关约定为准，并同意在工程结算时先缴纳。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专此承诺。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5" w:rightChars="869"/>
        <w:jc w:val="right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承包单位负责人（签字）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1825" w:rightChars="869" w:firstLine="4032" w:firstLineChars="1260"/>
        <w:jc w:val="right"/>
        <w:textAlignment w:val="auto"/>
        <w:rPr>
          <w:rFonts w:ascii="仿宋_GB2312" w:hAnsi="仿宋_GB2312" w:eastAsia="仿宋_GB2312" w:cs="仿宋_GB2312"/>
          <w:snapToGrid w:val="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>承包单位（章）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28"/>
          <w:sz w:val="32"/>
          <w:szCs w:val="32"/>
        </w:rPr>
        <w:t xml:space="preserve">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CC70B39-5FF7-4247-BC4A-52F84437F7F3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2" w:fontKey="{18FD199F-B1B0-43DA-89B7-9794CC8A0B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C0B006D-C5DE-4BCB-894F-BC69477337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hmNDJlYzNjZmZiYjRmMGRhNTIwZjFjM2IyM2IifQ=="/>
  </w:docVars>
  <w:rsids>
    <w:rsidRoot w:val="18AE7318"/>
    <w:rsid w:val="18A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2023-11-02T02:37:00Z</dcterms:created>
  <dc:creator>孔晓宇</dc:creator>
  <cp:lastModifiedBy>孔晓宇</cp:lastModifiedBy>
  <dcterms:modified xsi:type="dcterms:W3CDTF">2023-11-02T02:37:11Z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6CD555A16D1C454C859BAD6199D3D4B1_11</vt:lpwstr>
  </property>
</Properties>
</file>